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C39" w14:textId="593661AF" w:rsidR="00975DE0" w:rsidRPr="00975DE0" w:rsidRDefault="00975DE0" w:rsidP="00975DE0">
      <w:pPr>
        <w:keepNext/>
        <w:spacing w:after="360" w:line="240" w:lineRule="auto"/>
        <w:jc w:val="center"/>
        <w:outlineLvl w:val="1"/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 xml:space="preserve">POROZUMIENIE O WSPÓŁPRACY </w:t>
      </w:r>
      <w:r w:rsidR="001A0B22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 xml:space="preserve"> SKS  </w:t>
      </w:r>
      <w:r w:rsidRPr="00975DE0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 xml:space="preserve"> NR 202</w:t>
      </w:r>
      <w:r w:rsidR="0058568F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>3</w:t>
      </w:r>
      <w:r w:rsidRPr="00975DE0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 xml:space="preserve">/   … </w:t>
      </w:r>
    </w:p>
    <w:p w14:paraId="104FF006" w14:textId="77777777" w:rsidR="00975DE0" w:rsidRPr="00975DE0" w:rsidRDefault="00975DE0" w:rsidP="00975DE0">
      <w:pPr>
        <w:keepNext/>
        <w:spacing w:after="360" w:line="240" w:lineRule="auto"/>
        <w:jc w:val="center"/>
        <w:outlineLvl w:val="1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(zwane dalej „Porozumieniem”)</w:t>
      </w:r>
    </w:p>
    <w:p w14:paraId="65B7DD6F" w14:textId="3EB93360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zawarte w dniu </w:t>
      </w:r>
      <w:r w:rsidR="0058568F">
        <w:rPr>
          <w:rFonts w:ascii="Palatino Linotype" w:eastAsia="Times New Roman" w:hAnsi="Palatino Linotype" w:cs="Times New Roman"/>
          <w:sz w:val="20"/>
          <w:szCs w:val="20"/>
          <w:lang w:eastAsia="pl-PL"/>
        </w:rPr>
        <w:t>1</w:t>
      </w:r>
      <w:r w:rsidR="00C97497">
        <w:rPr>
          <w:rFonts w:ascii="Palatino Linotype" w:eastAsia="Times New Roman" w:hAnsi="Palatino Linotype" w:cs="Times New Roman"/>
          <w:sz w:val="20"/>
          <w:szCs w:val="20"/>
          <w:lang w:eastAsia="pl-PL"/>
        </w:rPr>
        <w:t>6</w:t>
      </w:r>
      <w:r w:rsidR="0058568F">
        <w:rPr>
          <w:rFonts w:ascii="Palatino Linotype" w:eastAsia="Times New Roman" w:hAnsi="Palatino Linotype" w:cs="Times New Roman"/>
          <w:sz w:val="20"/>
          <w:szCs w:val="20"/>
          <w:lang w:eastAsia="pl-PL"/>
        </w:rPr>
        <w:t>.01.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202</w:t>
      </w:r>
      <w:r w:rsidR="0058568F">
        <w:rPr>
          <w:rFonts w:ascii="Palatino Linotype" w:eastAsia="Times New Roman" w:hAnsi="Palatino Linotype" w:cs="Times New Roman"/>
          <w:sz w:val="20"/>
          <w:szCs w:val="20"/>
          <w:lang w:eastAsia="pl-PL"/>
        </w:rPr>
        <w:t>3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r.., w Zielonej Górze , pomiędzy:</w:t>
      </w:r>
    </w:p>
    <w:p w14:paraId="59B6E18F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Szkolny Związek Sportowy ZIEMIA LUBUSKA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z siedzibą i adresem w Zielonej Górze , ul. Fabryczna 13B/3, 65-410 wpisaną do Rejestru Stowarzyszeń prowadzonego przez Sąd Rejonowy w Zielonej Górze Wydział Gospodarczy po numerem KRS 0000268497, o numerze NIP 929 17 68 666 i o numerze REGON 080144828</w:t>
      </w:r>
    </w:p>
    <w:p w14:paraId="57F81CEA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zwany w treści Umowy </w:t>
      </w: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„Partnerem 1” </w:t>
      </w:r>
    </w:p>
    <w:p w14:paraId="647A2169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 </w:t>
      </w:r>
    </w:p>
    <w:p w14:paraId="3C60A245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highlight w:val="yellow"/>
          <w:lang w:eastAsia="pl-PL"/>
        </w:rPr>
        <w:t>…………………………………………………………………………………..……………………………</w:t>
      </w:r>
    </w:p>
    <w:p w14:paraId="623E04D6" w14:textId="6FCB91E8" w:rsidR="00975DE0" w:rsidRPr="00975DE0" w:rsidRDefault="00975DE0" w:rsidP="00975DE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(</w:t>
      </w:r>
      <w:r w:rsidR="00702EC4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 xml:space="preserve">Szkoła lub </w:t>
      </w:r>
      <w:r w:rsidRPr="00975DE0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Organ prowadzący ,)</w:t>
      </w:r>
    </w:p>
    <w:p w14:paraId="004C626F" w14:textId="140A5F68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zwany w treści Umowy </w:t>
      </w: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„Partnerem </w:t>
      </w:r>
      <w:r w:rsidR="00C16B1A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1</w:t>
      </w: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” </w:t>
      </w:r>
    </w:p>
    <w:p w14:paraId="0D68E3E4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Zważywszy, że:</w:t>
      </w:r>
    </w:p>
    <w:p w14:paraId="0BFB51B6" w14:textId="4C99338F" w:rsidR="00975DE0" w:rsidRPr="00975DE0" w:rsidRDefault="00975DE0" w:rsidP="00975DE0">
      <w:pPr>
        <w:numPr>
          <w:ilvl w:val="3"/>
          <w:numId w:val="0"/>
        </w:numPr>
        <w:tabs>
          <w:tab w:val="num" w:pos="720"/>
        </w:tabs>
        <w:spacing w:before="120" w:after="120" w:line="240" w:lineRule="auto"/>
        <w:ind w:left="720" w:hanging="357"/>
        <w:jc w:val="both"/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>Partner 1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 xml:space="preserve"> jest Operatorem wojewódzkim w Programie Szkolny Klub Sportowy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 na rok 202</w:t>
      </w:r>
      <w:r w:rsidR="00850F9A">
        <w:rPr>
          <w:rFonts w:ascii="Palatino Linotype" w:eastAsia="Times New Roman" w:hAnsi="Palatino Linotype" w:cs="Times New Roman"/>
          <w:sz w:val="20"/>
          <w:szCs w:val="20"/>
          <w:lang w:eastAsia="x-none"/>
        </w:rPr>
        <w:t>3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 xml:space="preserve">, który został ogłoszony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przez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>Ministra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 Sportu i Turystyki (dalej „Program SKS”).</w:t>
      </w:r>
    </w:p>
    <w:p w14:paraId="437A7795" w14:textId="77777777" w:rsidR="00975DE0" w:rsidRPr="00975DE0" w:rsidRDefault="00975DE0" w:rsidP="00975DE0">
      <w:pPr>
        <w:numPr>
          <w:ilvl w:val="3"/>
          <w:numId w:val="0"/>
        </w:numPr>
        <w:tabs>
          <w:tab w:val="num" w:pos="720"/>
        </w:tabs>
        <w:spacing w:before="120" w:after="120" w:line="240" w:lineRule="auto"/>
        <w:ind w:left="720" w:hanging="357"/>
        <w:jc w:val="both"/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Partnerowi 1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 xml:space="preserve">zostały powierzone działania w zakresie realizacji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Programu SKS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>na poziomie wojewódzkim.</w:t>
      </w:r>
    </w:p>
    <w:p w14:paraId="4C4A7191" w14:textId="77777777" w:rsidR="00975DE0" w:rsidRPr="00975DE0" w:rsidRDefault="00975DE0" w:rsidP="00975DE0">
      <w:pPr>
        <w:numPr>
          <w:ilvl w:val="3"/>
          <w:numId w:val="0"/>
        </w:numPr>
        <w:tabs>
          <w:tab w:val="num" w:pos="720"/>
        </w:tabs>
        <w:spacing w:before="120" w:after="120" w:line="240" w:lineRule="auto"/>
        <w:ind w:left="720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x-none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Strony postanawiają nawiązać współpracę przy realizacji Programu SKS, której celem jest popularyzacja aktywnego i zdrowego trybu życia wśród dzieci i młodzieży poprzez dostęp do nieodpłatnych zajęć sportowo- rekreacyjnych. </w:t>
      </w:r>
    </w:p>
    <w:p w14:paraId="5EF39CF1" w14:textId="77777777" w:rsidR="00975DE0" w:rsidRPr="00975DE0" w:rsidRDefault="00975DE0" w:rsidP="00975DE0">
      <w:pPr>
        <w:numPr>
          <w:ilvl w:val="3"/>
          <w:numId w:val="0"/>
        </w:numPr>
        <w:tabs>
          <w:tab w:val="num" w:pos="720"/>
        </w:tabs>
        <w:spacing w:before="120" w:after="120" w:line="240" w:lineRule="auto"/>
        <w:ind w:left="720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x-none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Strony zamierzają realizować współpracę w zakresie i na zasadach wskazanych w niniejszym Porozumieniu. </w:t>
      </w:r>
    </w:p>
    <w:p w14:paraId="42D8BE84" w14:textId="77777777" w:rsidR="00975DE0" w:rsidRPr="00975DE0" w:rsidRDefault="00975DE0" w:rsidP="00975DE0">
      <w:pPr>
        <w:keepNext/>
        <w:spacing w:before="240"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bookmarkStart w:id="0" w:name="_Hlk94603125"/>
      <w:r w:rsidRPr="00975D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1</w:t>
      </w:r>
    </w:p>
    <w:bookmarkEnd w:id="0"/>
    <w:p w14:paraId="10119630" w14:textId="77777777" w:rsidR="00975DE0" w:rsidRPr="00975DE0" w:rsidRDefault="00975DE0" w:rsidP="00975DE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Obowiązki Partnera 2 </w:t>
      </w:r>
    </w:p>
    <w:p w14:paraId="0DBB66D0" w14:textId="77777777" w:rsidR="00975DE0" w:rsidRPr="00975DE0" w:rsidRDefault="00975DE0" w:rsidP="00975DE0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Partner 2 zobowiązuje się wesprzeć Partnera 1 w realizacji Programu SKS.</w:t>
      </w:r>
    </w:p>
    <w:p w14:paraId="16FA7A0C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Obowiązki Partnera 1 jako Operatora wojewódzkiego Programu SKS zostały wskazane w ogłoszeniu Ministra Sportu i Turystyki , o którym mowa w pkt 1) Preambuły. </w:t>
      </w:r>
    </w:p>
    <w:p w14:paraId="3838CA63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Strony uzgadniają, że wsparcie Partnera 2 będzie polegało na nieodpłatnym udostępnieniu pomieszczeń i sprzętu sportowego niezbędnego do prowadzenia zajęć sportowych dla uczestników Programu. </w:t>
      </w:r>
    </w:p>
    <w:p w14:paraId="2316E907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Partner 2 zobowiązuje się do udostępnienia pomieszczeń w szkole/szkołach wskazanych w </w:t>
      </w:r>
      <w:r w:rsidRPr="00975DE0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>§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1 pkt. 9  Porozumienia. </w:t>
      </w:r>
    </w:p>
    <w:p w14:paraId="2E17E310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Pomieszczenia oraz sprzęt sportowy będą udostępniane nie rzadziej niż dwa razy w tygodniu przez czas nie krótszy niż 60 min na każde zajęcia - zgodnie z harmonogramem zajęć SKS. Strony uzgadniają, że z uwagi na aktualną na dany moment sytuację epidemiczną, dopuszczają możliwość wydłużenia zajęć do 120 minut (przy jednoczesnym zmniejszeniu do jednego liczby zajęć w tygodniu), a Partner 2 zobowiązuje się w takiej sytuacji do zapewnienia dostępności pomieszczeń i sprzętu przez tak wydłużony czas zajęć. </w:t>
      </w:r>
    </w:p>
    <w:p w14:paraId="00D895D0" w14:textId="77777777" w:rsidR="00460783" w:rsidRPr="00460783" w:rsidRDefault="00975DE0" w:rsidP="00460783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lastRenderedPageBreak/>
        <w:t xml:space="preserve">Partner 2 zobowiązany jest po upływie każdego miesiąca kalendarzowego trwania Programu SKS, potwierdzić wykorzystanie wskazanych w ust. </w:t>
      </w:r>
      <w:r w:rsidR="00BE1527"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5</w:t>
      </w:r>
      <w:r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pomieszczeń i sprzętu zgodnie ze wskazanymi w niniejszym Porozumieniu celami. </w:t>
      </w:r>
      <w:r w:rsidR="00460783"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Potwierdzenie powinno zostać dokonane na raporcie miesięcznym sporządzonym przez nauczyciela prowadzącego zajęcia  przez osobę uprawnioną do reprezentowania Partnera 2 lub przez inną osobę do tego umocowaną np. dyrektora szkoły. </w:t>
      </w:r>
    </w:p>
    <w:p w14:paraId="04CAEC46" w14:textId="0FF7EA76" w:rsidR="00A664A9" w:rsidRPr="00460783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Partner 2 zobowiązany jest do poinformowania Partnera 1 w przypadku, gdyby udostępnione przez niego pomieszczenia i sprzęt nie były wykorzystywane zgodnie z celami wskazanymi w niniejszym Porozumieniu lub też były wykorzystywane w sposób sprzeczny z niniejszym Porozumieniem w szczególności, gdyby pomieszczenia i sprzęt były wykorzystywane w wymiarze mniejszym niż wynikający z harmonogramu zajęć SKS, o którym mowa w ust. 5 powyżej. </w:t>
      </w:r>
    </w:p>
    <w:p w14:paraId="7E15A46F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Parter 2 będzie promował Program SKS i informował o jego realizacji w uzgodnionych przez Strony materiałach.  Partner 2 umożliwi również promocję Programu SKS na terenie obiektu, gdzie będą odbywały się zajęcia SKS m.in. poprzez wywieszenie plakatów/tablic informacyjnych. </w:t>
      </w:r>
    </w:p>
    <w:p w14:paraId="58921713" w14:textId="74B926E2" w:rsidR="00975DE0" w:rsidRPr="00975DE0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Wartość świadczeń bezgotówkowych – wynajem obiektu i sprzętu do prowadzenia zajęć  Partnera 2 Strony wyceniają na kwotę 300,00  zł  (słownie: trzysta złotych) na 1 grupę ćwiczebną na okres trwania porozumienia.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6010"/>
        <w:gridCol w:w="2053"/>
      </w:tblGrid>
      <w:tr w:rsidR="00975DE0" w:rsidRPr="00975DE0" w14:paraId="3FC86715" w14:textId="77777777" w:rsidTr="00EF2246">
        <w:trPr>
          <w:trHeight w:val="340"/>
        </w:trPr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C19BA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4C3EF01" w14:textId="168701E0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 xml:space="preserve">Nazwa, </w:t>
            </w:r>
            <w:r w:rsidR="00850F9A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 xml:space="preserve">rodzaj, </w:t>
            </w: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 xml:space="preserve">adres udostępnionego obiektu </w:t>
            </w:r>
          </w:p>
        </w:tc>
        <w:tc>
          <w:tcPr>
            <w:tcW w:w="1133" w:type="pct"/>
          </w:tcPr>
          <w:p w14:paraId="7BB4CBB5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>Wartość brutto (zł)</w:t>
            </w:r>
          </w:p>
          <w:p w14:paraId="61F7D07E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 xml:space="preserve">minimum </w:t>
            </w:r>
          </w:p>
          <w:p w14:paraId="7B0667C8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highlight w:val="yellow"/>
                <w:u w:val="single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>300,00 na 1 grupę</w:t>
            </w:r>
          </w:p>
        </w:tc>
      </w:tr>
      <w:tr w:rsidR="00975DE0" w:rsidRPr="00975DE0" w14:paraId="00382695" w14:textId="77777777" w:rsidTr="00EF2246">
        <w:trPr>
          <w:trHeight w:val="340"/>
        </w:trPr>
        <w:tc>
          <w:tcPr>
            <w:tcW w:w="550" w:type="pct"/>
            <w:shd w:val="clear" w:color="auto" w:fill="auto"/>
          </w:tcPr>
          <w:p w14:paraId="06275B30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Grupa 1.</w:t>
            </w:r>
          </w:p>
        </w:tc>
        <w:tc>
          <w:tcPr>
            <w:tcW w:w="3317" w:type="pct"/>
            <w:shd w:val="clear" w:color="auto" w:fill="FFFF00"/>
          </w:tcPr>
          <w:p w14:paraId="2EE1E9A6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33" w:type="pct"/>
            <w:shd w:val="clear" w:color="auto" w:fill="FFFF00"/>
          </w:tcPr>
          <w:p w14:paraId="2BCD5B66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975DE0" w:rsidRPr="00975DE0" w14:paraId="2AB08221" w14:textId="77777777" w:rsidTr="00EF2246">
        <w:trPr>
          <w:trHeight w:val="340"/>
        </w:trPr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052CE365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Grupa 2.</w:t>
            </w:r>
          </w:p>
        </w:tc>
        <w:tc>
          <w:tcPr>
            <w:tcW w:w="3317" w:type="pct"/>
            <w:tcBorders>
              <w:bottom w:val="single" w:sz="4" w:space="0" w:color="auto"/>
            </w:tcBorders>
            <w:shd w:val="clear" w:color="auto" w:fill="FFFF00"/>
          </w:tcPr>
          <w:p w14:paraId="261C5530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14:paraId="27FCDCD4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975DE0" w:rsidRPr="00975DE0" w14:paraId="4F0335F0" w14:textId="77777777" w:rsidTr="00EF2246">
        <w:trPr>
          <w:trHeight w:val="340"/>
        </w:trPr>
        <w:tc>
          <w:tcPr>
            <w:tcW w:w="550" w:type="pct"/>
            <w:tcBorders>
              <w:bottom w:val="nil"/>
            </w:tcBorders>
            <w:shd w:val="clear" w:color="auto" w:fill="auto"/>
          </w:tcPr>
          <w:p w14:paraId="507CE44C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Grupa 3.</w:t>
            </w:r>
          </w:p>
        </w:tc>
        <w:tc>
          <w:tcPr>
            <w:tcW w:w="3317" w:type="pct"/>
            <w:tcBorders>
              <w:bottom w:val="single" w:sz="4" w:space="0" w:color="auto"/>
            </w:tcBorders>
            <w:shd w:val="clear" w:color="auto" w:fill="FFFF00"/>
          </w:tcPr>
          <w:p w14:paraId="624F118F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14:paraId="0E618A4C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975DE0" w:rsidRPr="00975DE0" w14:paraId="6370FC60" w14:textId="77777777" w:rsidTr="00EF2246">
        <w:trPr>
          <w:trHeight w:val="340"/>
        </w:trPr>
        <w:tc>
          <w:tcPr>
            <w:tcW w:w="3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818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  <w:p w14:paraId="2E5E3DBE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both"/>
              <w:rPr>
                <w:rFonts w:ascii="Palatino Linotype" w:eastAsia="Times New Roman" w:hAnsi="Palatino Linotype" w:cs="Times New Roman"/>
                <w:i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  <w:t>Słownie: ……………………………………………………………………..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083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both"/>
              <w:rPr>
                <w:rFonts w:ascii="Palatino Linotype" w:eastAsia="Times New Roman" w:hAnsi="Palatino Linotype" w:cs="Times New Roman"/>
                <w:i/>
                <w:sz w:val="20"/>
                <w:szCs w:val="20"/>
                <w:lang w:eastAsia="zh-CN"/>
              </w:rPr>
            </w:pPr>
          </w:p>
          <w:p w14:paraId="154A6E2A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  <w:t>Suma:………………</w:t>
            </w:r>
          </w:p>
        </w:tc>
      </w:tr>
    </w:tbl>
    <w:p w14:paraId="008ED4C8" w14:textId="77777777" w:rsidR="00975DE0" w:rsidRPr="00975DE0" w:rsidRDefault="00975DE0" w:rsidP="00975DE0">
      <w:pPr>
        <w:keepNext/>
        <w:numPr>
          <w:ilvl w:val="1"/>
          <w:numId w:val="0"/>
        </w:numPr>
        <w:spacing w:after="120" w:line="240" w:lineRule="auto"/>
        <w:jc w:val="center"/>
        <w:rPr>
          <w:rFonts w:ascii="Palatino Linotype" w:eastAsia="Times New Roman" w:hAnsi="Palatino Linotype" w:cs="Times New Roman"/>
          <w:b/>
          <w:smallCaps/>
          <w:sz w:val="20"/>
          <w:szCs w:val="20"/>
          <w:lang w:eastAsia="pl-PL"/>
        </w:rPr>
      </w:pPr>
    </w:p>
    <w:p w14:paraId="6060C8D3" w14:textId="77777777" w:rsidR="00A664A9" w:rsidRDefault="00975DE0" w:rsidP="00A664A9">
      <w:p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Zasady współpracy Stron</w:t>
      </w:r>
    </w:p>
    <w:p w14:paraId="0541FB4D" w14:textId="77777777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dołożą wszelkich starań, aby idee promowane w ramach Programu SKS dotarły do możliwie szerokiego kręgu odbiorców.</w:t>
      </w:r>
    </w:p>
    <w:p w14:paraId="7922C5FE" w14:textId="77777777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będą realizować swoje działania z najwyższą starannością, biorąc pod uwagę dobro Programu SKS.</w:t>
      </w:r>
    </w:p>
    <w:p w14:paraId="29BE48B7" w14:textId="77777777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Strony w ramach partnerstwa, będą współpracować dla osiągnięcia jak najlepszych efektów realizacji Programu SKS. </w:t>
      </w:r>
    </w:p>
    <w:p w14:paraId="0A83F507" w14:textId="77777777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Strony potwierdzają, że posiadają odpowiednie zasoby i wiedzę do realizacji Programu SKS i będą działać zgodnie z najlepszymi dostępnymi praktykami, w dobrej wierze i zgodnie z najlepszą wiedzą. </w:t>
      </w:r>
    </w:p>
    <w:p w14:paraId="6DA16ABC" w14:textId="77777777" w:rsidR="00A664A9" w:rsidRPr="00A664A9" w:rsidRDefault="00975DE0" w:rsidP="00A664A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ustalają, że będą dążyć do rozwiązywania wszelkich kwestii spornych w trybie roboczym, w ramach konsultacji, w celu zapewnienia jak najwyższej jakości i efektywności wspólnie realizowanym działaniom.</w:t>
      </w:r>
    </w:p>
    <w:p w14:paraId="550973BE" w14:textId="77777777" w:rsidR="00A664A9" w:rsidRPr="00A664A9" w:rsidRDefault="00975DE0" w:rsidP="00A664A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Strony Porozumienia ustalają zgodnie, że nie będą rościć sobie prawa do odszkodowania za szkody poniesione przez Strony lub ich personel powstałe na skutek czynności związanych z realizacją Porozumienia, z wyjątkiem szkód powstałych w wyniku winy umyślnej lub rażącego niedbalstwa. </w:t>
      </w:r>
    </w:p>
    <w:p w14:paraId="74121F26" w14:textId="5950A03C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będą wzajemnie brały pod uwagę swoje interesy oraz będą powiadamiały się o wszelkich okolicznościach mających istotne znaczenie dla wykonania postanowień niniejszego Porozumienia.</w:t>
      </w:r>
    </w:p>
    <w:p w14:paraId="462DFDFE" w14:textId="6D75C878" w:rsidR="002F5821" w:rsidRDefault="002F5821" w:rsidP="002F5821">
      <w:pPr>
        <w:pStyle w:val="Akapitzlist"/>
        <w:keepNext/>
        <w:spacing w:before="240"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2F58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</w:t>
      </w:r>
      <w:r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2</w:t>
      </w:r>
    </w:p>
    <w:p w14:paraId="56664DAC" w14:textId="44D9DF97" w:rsidR="00975DE0" w:rsidRPr="00975DE0" w:rsidRDefault="00975DE0" w:rsidP="00975DE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Przedstawiciele Stron</w:t>
      </w:r>
    </w:p>
    <w:p w14:paraId="2DBE96A1" w14:textId="625EDDF9" w:rsidR="00975DE0" w:rsidRPr="002F5821" w:rsidRDefault="00975DE0" w:rsidP="002F5821">
      <w:pPr>
        <w:pStyle w:val="Akapitzlist"/>
        <w:numPr>
          <w:ilvl w:val="0"/>
          <w:numId w:val="5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Osobami odpowiedzialnymi za realizację niniejszego Porozumienia ze strony </w:t>
      </w:r>
      <w:r w:rsidRPr="002F582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Partnera 1</w:t>
      </w: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są:</w:t>
      </w:r>
    </w:p>
    <w:p w14:paraId="5C1265F4" w14:textId="77777777" w:rsidR="002F5821" w:rsidRDefault="00975DE0" w:rsidP="002F5821">
      <w:pPr>
        <w:tabs>
          <w:tab w:val="num" w:pos="363"/>
        </w:tabs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ZBIGNIEW BERMES</w:t>
      </w:r>
    </w:p>
    <w:p w14:paraId="79B351FA" w14:textId="658AFF1A" w:rsidR="00975DE0" w:rsidRPr="002F5821" w:rsidRDefault="00975DE0" w:rsidP="002F5821">
      <w:pPr>
        <w:pStyle w:val="Akapitzlist"/>
        <w:numPr>
          <w:ilvl w:val="0"/>
          <w:numId w:val="5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Osobami odpowiedzialnymi za realizację niniejszego Porozumienia ze strony </w:t>
      </w:r>
      <w:r w:rsidRPr="002F582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Partnera 2</w:t>
      </w: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są:</w:t>
      </w:r>
    </w:p>
    <w:p w14:paraId="1826119D" w14:textId="5C792BB9" w:rsidR="00850F9A" w:rsidRPr="00975DE0" w:rsidRDefault="00975DE0" w:rsidP="00850F9A">
      <w:pPr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highlight w:val="yellow"/>
          <w:lang w:eastAsia="pl-PL"/>
        </w:rPr>
        <w:t>………………………………………….</w:t>
      </w:r>
      <w:r w:rsidR="00850F9A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14:paraId="55E1972D" w14:textId="30FFFF05" w:rsidR="00975DE0" w:rsidRPr="002F5821" w:rsidRDefault="00975DE0" w:rsidP="002F5821">
      <w:pPr>
        <w:pStyle w:val="Akapitzlist"/>
        <w:numPr>
          <w:ilvl w:val="0"/>
          <w:numId w:val="5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Zmiana osób wskazanych w ust. 1 - 2 powyżej nie stanowi zmiany Porozumienia. Strony będą informować się wzajemnie o zaistniałych zmianach niezwłocznie. </w:t>
      </w:r>
    </w:p>
    <w:p w14:paraId="4A71724A" w14:textId="4F5D696D" w:rsidR="00975DE0" w:rsidRPr="002F5821" w:rsidRDefault="00975DE0" w:rsidP="002F5821">
      <w:pPr>
        <w:pStyle w:val="Akapitzlist"/>
        <w:numPr>
          <w:ilvl w:val="0"/>
          <w:numId w:val="5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udostępniają sobie wzajemnie dane osobowe osób wskazanych do kontaktu oraz osób, których działanie będzie niezbędne w zakresie określonym w Porozumieniu (pracownicy, współpracownicy) w celu umożliwienia wykonania Programu SKS dla usprawnienia wzajemnych kontaktów przy jego realizacji. Wzajemne ujawnienie w/w danych następuje na zasadzie administrator danych do administratora danych.</w:t>
      </w:r>
    </w:p>
    <w:p w14:paraId="7D3A4BA8" w14:textId="10F03D99" w:rsidR="00975DE0" w:rsidRPr="00975DE0" w:rsidRDefault="002F5821" w:rsidP="002F5821">
      <w:pPr>
        <w:pStyle w:val="Akapitzlist"/>
        <w:keepNext/>
        <w:spacing w:before="240"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2F58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14:paraId="407576E0" w14:textId="77777777" w:rsidR="00975DE0" w:rsidRPr="00975DE0" w:rsidRDefault="00975DE0" w:rsidP="00975DE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Postanowienia końcowe</w:t>
      </w:r>
    </w:p>
    <w:p w14:paraId="6EB2E837" w14:textId="3D4C8687" w:rsidR="002F5821" w:rsidRDefault="00975DE0" w:rsidP="002F5821">
      <w:pPr>
        <w:numPr>
          <w:ilvl w:val="2"/>
          <w:numId w:val="3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Porozumienie jest zawarta na okres trwania Programu SKS tj. na okres od dnia </w:t>
      </w:r>
      <w:r w:rsidR="0058568F">
        <w:rPr>
          <w:rFonts w:ascii="Palatino Linotype" w:eastAsia="Times New Roman" w:hAnsi="Palatino Linotype" w:cs="Times New Roman"/>
          <w:sz w:val="20"/>
          <w:szCs w:val="20"/>
          <w:lang w:eastAsia="pl-PL"/>
        </w:rPr>
        <w:t>10.01.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202</w:t>
      </w:r>
      <w:r w:rsidR="0058568F">
        <w:rPr>
          <w:rFonts w:ascii="Palatino Linotype" w:eastAsia="Times New Roman" w:hAnsi="Palatino Linotype" w:cs="Times New Roman"/>
          <w:sz w:val="20"/>
          <w:szCs w:val="20"/>
          <w:lang w:eastAsia="pl-PL"/>
        </w:rPr>
        <w:t>3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 roku do dnia 31 grudnia  202</w:t>
      </w:r>
      <w:r w:rsidR="0058568F">
        <w:rPr>
          <w:rFonts w:ascii="Palatino Linotype" w:eastAsia="Times New Roman" w:hAnsi="Palatino Linotype" w:cs="Times New Roman"/>
          <w:sz w:val="20"/>
          <w:szCs w:val="20"/>
          <w:lang w:eastAsia="pl-PL"/>
        </w:rPr>
        <w:t>3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 roku. Porozumienie może być rozwiązane ze skutkiem natychmiastowym przez Partnera 1, w sytuacji, w której udostępnione przez Partnera 2 pomieszczenia i sprzęt sportowy nie będą wykorzystywane do prowadzenia zajęć sportowych w wymiarze wynikającym z harmonogramu zajęć SKS, o którym mowa w §1 ust. 5.</w:t>
      </w:r>
      <w:r w:rsidRPr="00975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D041CAA" w14:textId="77777777" w:rsidR="002F5821" w:rsidRDefault="00975DE0" w:rsidP="002F5821">
      <w:pPr>
        <w:numPr>
          <w:ilvl w:val="2"/>
          <w:numId w:val="3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Wszelkie zmiany Porozumienia będą dokonywane w formie pisemnej pod rygorem nieważności.</w:t>
      </w:r>
    </w:p>
    <w:p w14:paraId="4241DE77" w14:textId="77777777" w:rsidR="002F5821" w:rsidRDefault="00975DE0" w:rsidP="002F5821">
      <w:pPr>
        <w:numPr>
          <w:ilvl w:val="2"/>
          <w:numId w:val="3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Spory mogące powstać z tytułu realizacji przedmiotowego Porozumienia Strony będą rozwiązywać w sposób polubowny, a w przypadku ich niepowodzenia poddadzą spór pod rozstrzygnięcie sądowi właściwemu ze względu na siedzibę pozwanego. </w:t>
      </w:r>
    </w:p>
    <w:p w14:paraId="57D8E548" w14:textId="77777777" w:rsidR="002F5821" w:rsidRDefault="00975DE0" w:rsidP="002F5821">
      <w:pPr>
        <w:numPr>
          <w:ilvl w:val="2"/>
          <w:numId w:val="3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Porozumienie sporządzono w dwóch jednobrzmiących egzemplarzach, po jednym dla każdej ze Stron.</w:t>
      </w:r>
      <w:r w:rsidR="002F5821"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14:paraId="6C9CB22F" w14:textId="3FF877C8" w:rsidR="002F5821" w:rsidRPr="00975DE0" w:rsidRDefault="002F5821" w:rsidP="002F5821">
      <w:pPr>
        <w:spacing w:before="85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Partner 1:</w:t>
      </w: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Partner 2:</w:t>
      </w:r>
    </w:p>
    <w:p w14:paraId="4768D86A" w14:textId="526C9A00" w:rsidR="002F5821" w:rsidRPr="00975DE0" w:rsidRDefault="002F5821" w:rsidP="002F5821">
      <w:pPr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4AF1EF0A" w14:textId="77777777" w:rsidR="002F5821" w:rsidRDefault="002F5821" w:rsidP="002F5821">
      <w:pPr>
        <w:tabs>
          <w:tab w:val="num" w:pos="363"/>
        </w:tabs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61E8439F" w14:textId="2C5BD1DD" w:rsidR="002F5821" w:rsidRDefault="002F5821" w:rsidP="002F5821">
      <w:pPr>
        <w:tabs>
          <w:tab w:val="num" w:pos="363"/>
        </w:tabs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SZS ZIEMIA LUBUSKA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975DE0">
        <w:rPr>
          <w:rFonts w:ascii="Palatino Linotype" w:eastAsia="Times New Roman" w:hAnsi="Palatino Linotype" w:cs="Times New Roman"/>
          <w:sz w:val="20"/>
          <w:szCs w:val="20"/>
          <w:highlight w:val="yellow"/>
          <w:lang w:eastAsia="pl-PL"/>
        </w:rPr>
        <w:t>……………………………..</w:t>
      </w:r>
    </w:p>
    <w:p w14:paraId="598EC7C0" w14:textId="71604DBA" w:rsidR="00850F9A" w:rsidRPr="002F5821" w:rsidRDefault="00850F9A" w:rsidP="002F5821">
      <w:pPr>
        <w:tabs>
          <w:tab w:val="num" w:pos="363"/>
        </w:tabs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  <w:t>Pieczątka i podpis, Dyrektor szkoły/</w:t>
      </w:r>
    </w:p>
    <w:sectPr w:rsidR="00850F9A" w:rsidRPr="002F5821" w:rsidSect="002F5821">
      <w:headerReference w:type="default" r:id="rId7"/>
      <w:foot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625B" w14:textId="77777777" w:rsidR="00BA368B" w:rsidRDefault="00BA368B">
      <w:pPr>
        <w:spacing w:after="0" w:line="240" w:lineRule="auto"/>
      </w:pPr>
      <w:r>
        <w:separator/>
      </w:r>
    </w:p>
  </w:endnote>
  <w:endnote w:type="continuationSeparator" w:id="0">
    <w:p w14:paraId="09F9E18E" w14:textId="77777777" w:rsidR="00BA368B" w:rsidRDefault="00BA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C557" w14:textId="77777777" w:rsidR="00CB746C" w:rsidRDefault="002F5821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9D78CA5" w14:textId="77777777" w:rsidR="00CB746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31F9" w14:textId="77777777" w:rsidR="00BA368B" w:rsidRDefault="00BA368B">
      <w:pPr>
        <w:spacing w:after="0" w:line="240" w:lineRule="auto"/>
      </w:pPr>
      <w:r>
        <w:separator/>
      </w:r>
    </w:p>
  </w:footnote>
  <w:footnote w:type="continuationSeparator" w:id="0">
    <w:p w14:paraId="1B84BA6D" w14:textId="77777777" w:rsidR="00BA368B" w:rsidRDefault="00BA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7204" w14:textId="77777777" w:rsidR="00EE1E79" w:rsidRPr="00C47FDA" w:rsidRDefault="002F5821" w:rsidP="00EE1E79">
    <w:pPr>
      <w:pStyle w:val="Nagwek"/>
      <w:rPr>
        <w:b/>
      </w:rPr>
    </w:pPr>
    <w:r w:rsidRPr="00C47FDA">
      <w:rPr>
        <w:b/>
      </w:rPr>
      <w:t>Instrukcja wypełniania:</w:t>
    </w:r>
    <w:r>
      <w:rPr>
        <w:b/>
      </w:rPr>
      <w:t xml:space="preserve">                                                                                                                                     </w:t>
    </w:r>
    <w:r w:rsidRPr="00EF2246">
      <w:rPr>
        <w:b/>
        <w:u w:val="single"/>
      </w:rPr>
      <w:t>DRUK NR 1</w:t>
    </w:r>
  </w:p>
  <w:p w14:paraId="754EA77E" w14:textId="77777777" w:rsidR="00EE1E79" w:rsidRPr="00EF2246" w:rsidRDefault="002F5821" w:rsidP="00EF2246">
    <w:pPr>
      <w:pBdr>
        <w:bottom w:val="single" w:sz="12" w:space="1" w:color="auto"/>
      </w:pBdr>
      <w:ind w:right="360"/>
      <w:rPr>
        <w:b/>
        <w:bCs/>
        <w:sz w:val="16"/>
        <w:lang w:eastAsia="x-none"/>
      </w:rPr>
    </w:pPr>
    <w:r w:rsidRPr="00EF2246">
      <w:rPr>
        <w:b/>
        <w:bCs/>
        <w:sz w:val="16"/>
        <w:lang w:eastAsia="x-none"/>
      </w:rPr>
      <w:t xml:space="preserve">pola oznaczone żółtym kolorem należy uzupełnić </w:t>
    </w:r>
    <w:r w:rsidRPr="00EF2246">
      <w:rPr>
        <w:sz w:val="16"/>
        <w:lang w:eastAsia="x-none"/>
      </w:rPr>
      <w:t xml:space="preserve"> :  </w:t>
    </w:r>
    <w:r w:rsidRPr="00EF2246">
      <w:rPr>
        <w:b/>
        <w:bCs/>
        <w:sz w:val="16"/>
        <w:lang w:eastAsia="x-none"/>
      </w:rPr>
      <w:t>DRUKOWANYM TEKSTEM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D02"/>
    <w:multiLevelType w:val="hybridMultilevel"/>
    <w:tmpl w:val="956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C6A"/>
    <w:multiLevelType w:val="hybridMultilevel"/>
    <w:tmpl w:val="FAB0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 w16cid:durableId="186603198">
    <w:abstractNumId w:val="2"/>
  </w:num>
  <w:num w:numId="2" w16cid:durableId="54769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796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438063">
    <w:abstractNumId w:val="0"/>
  </w:num>
  <w:num w:numId="5" w16cid:durableId="207488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E0"/>
    <w:rsid w:val="001A0B22"/>
    <w:rsid w:val="002F5821"/>
    <w:rsid w:val="00460783"/>
    <w:rsid w:val="0058568F"/>
    <w:rsid w:val="00702EC4"/>
    <w:rsid w:val="00793594"/>
    <w:rsid w:val="00850F9A"/>
    <w:rsid w:val="00975DE0"/>
    <w:rsid w:val="00A05379"/>
    <w:rsid w:val="00A664A9"/>
    <w:rsid w:val="00A96750"/>
    <w:rsid w:val="00BA368B"/>
    <w:rsid w:val="00BE1527"/>
    <w:rsid w:val="00C16B1A"/>
    <w:rsid w:val="00C97497"/>
    <w:rsid w:val="00CF1DF6"/>
    <w:rsid w:val="00EB40D3"/>
    <w:rsid w:val="00EC1C0A"/>
    <w:rsid w:val="00F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ED41"/>
  <w15:chartTrackingRefBased/>
  <w15:docId w15:val="{4E87409E-A8E9-44B8-9A6E-5820482F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7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5DE0"/>
  </w:style>
  <w:style w:type="paragraph" w:styleId="Nagwek">
    <w:name w:val="header"/>
    <w:basedOn w:val="Normalny"/>
    <w:link w:val="NagwekZnak"/>
    <w:uiPriority w:val="99"/>
    <w:semiHidden/>
    <w:unhideWhenUsed/>
    <w:rsid w:val="0097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5DE0"/>
  </w:style>
  <w:style w:type="paragraph" w:customStyle="1" w:styleId="tekstlitera">
    <w:name w:val="tekst litera"/>
    <w:basedOn w:val="Normalny"/>
    <w:rsid w:val="00975DE0"/>
    <w:pPr>
      <w:numPr>
        <w:ilvl w:val="4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975DE0"/>
    <w:pPr>
      <w:keepNext/>
      <w:numPr>
        <w:numId w:val="1"/>
      </w:numPr>
      <w:spacing w:before="240" w:after="0" w:line="240" w:lineRule="auto"/>
      <w:jc w:val="center"/>
    </w:pPr>
    <w:rPr>
      <w:rFonts w:ascii="Palatino Linotype" w:eastAsia="Times New Roman" w:hAnsi="Palatino Linotype" w:cs="Times New Roman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975DE0"/>
    <w:pPr>
      <w:keepNext/>
      <w:numPr>
        <w:ilvl w:val="1"/>
        <w:numId w:val="1"/>
      </w:numPr>
      <w:spacing w:after="120" w:line="240" w:lineRule="auto"/>
      <w:jc w:val="center"/>
    </w:pPr>
    <w:rPr>
      <w:rFonts w:ascii="Palatino Linotype" w:eastAsia="Times New Roman" w:hAnsi="Palatino Linotype" w:cs="Times New Roman"/>
      <w:b/>
      <w:smallCaps/>
      <w:szCs w:val="20"/>
      <w:lang w:eastAsia="pl-PL"/>
    </w:rPr>
  </w:style>
  <w:style w:type="paragraph" w:customStyle="1" w:styleId="tekstpunkt">
    <w:name w:val="tekst punkt"/>
    <w:basedOn w:val="Normalny"/>
    <w:rsid w:val="00975DE0"/>
    <w:pPr>
      <w:numPr>
        <w:ilvl w:val="3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val="x-none" w:eastAsia="x-none"/>
    </w:rPr>
  </w:style>
  <w:style w:type="paragraph" w:customStyle="1" w:styleId="tekstustp">
    <w:name w:val="tekst ustęp"/>
    <w:basedOn w:val="Normalny"/>
    <w:rsid w:val="00975DE0"/>
    <w:pPr>
      <w:numPr>
        <w:ilvl w:val="2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Bermes</dc:creator>
  <cp:keywords/>
  <dc:description/>
  <cp:lastModifiedBy>Zbigniew Bermes</cp:lastModifiedBy>
  <cp:revision>9</cp:revision>
  <dcterms:created xsi:type="dcterms:W3CDTF">2022-02-18T10:07:00Z</dcterms:created>
  <dcterms:modified xsi:type="dcterms:W3CDTF">2023-01-11T11:59:00Z</dcterms:modified>
</cp:coreProperties>
</file>